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Prices to Pay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This is a story done entirely at Hillcrest, but how does it related to students in any high school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What other senior year expenses can you think of?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Which expenses discussed were optional and could be avoided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rtl w:val="0"/>
        </w:rPr>
        <w:t>4.  What did you think about the sequence where the footage was reversed, leading to the reporter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stand-up?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How did this story reveal the importance of file footage?  (remember, the story was done early in the school year)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